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5A222" w14:textId="77777777" w:rsidR="00BC68F4" w:rsidRPr="00EA6A5E" w:rsidRDefault="00BC68F4" w:rsidP="00BC68F4">
      <w:pPr>
        <w:pStyle w:val="EinfAbs"/>
        <w:suppressAutoHyphens/>
        <w:spacing w:line="276" w:lineRule="auto"/>
        <w:rPr>
          <w:rStyle w:val="A0"/>
          <w:rFonts w:asciiTheme="majorHAnsi" w:hAnsiTheme="majorHAnsi" w:cstheme="majorHAnsi"/>
          <w:sz w:val="22"/>
          <w:szCs w:val="22"/>
        </w:rPr>
      </w:pPr>
      <w:r w:rsidRPr="00EA6A5E">
        <w:rPr>
          <w:rStyle w:val="A0"/>
          <w:rFonts w:asciiTheme="majorHAnsi" w:hAnsiTheme="majorHAnsi" w:cstheme="majorHAnsi"/>
          <w:sz w:val="22"/>
          <w:szCs w:val="22"/>
        </w:rPr>
        <w:t>Lindlar</w:t>
      </w:r>
      <w:r>
        <w:rPr>
          <w:rStyle w:val="A0"/>
          <w:rFonts w:asciiTheme="majorHAnsi" w:hAnsiTheme="majorHAnsi" w:cstheme="majorHAnsi"/>
          <w:sz w:val="22"/>
          <w:szCs w:val="22"/>
        </w:rPr>
        <w:t>, den</w:t>
      </w:r>
      <w:r w:rsidRPr="00EA6A5E">
        <w:rPr>
          <w:rStyle w:val="A0"/>
          <w:rFonts w:asciiTheme="majorHAnsi" w:hAnsiTheme="majorHAnsi" w:cstheme="majorHAnsi"/>
          <w:sz w:val="22"/>
          <w:szCs w:val="22"/>
        </w:rPr>
        <w:t xml:space="preserve"> </w:t>
      </w:r>
      <w:r>
        <w:rPr>
          <w:rStyle w:val="A0"/>
          <w:rFonts w:asciiTheme="majorHAnsi" w:hAnsiTheme="majorHAnsi" w:cstheme="majorHAnsi"/>
          <w:sz w:val="22"/>
          <w:szCs w:val="22"/>
        </w:rPr>
        <w:t>12</w:t>
      </w:r>
      <w:r w:rsidRPr="00EA6A5E">
        <w:rPr>
          <w:rStyle w:val="A0"/>
          <w:rFonts w:asciiTheme="majorHAnsi" w:hAnsiTheme="majorHAnsi" w:cstheme="majorHAnsi"/>
          <w:sz w:val="22"/>
          <w:szCs w:val="22"/>
        </w:rPr>
        <w:t>.0</w:t>
      </w:r>
      <w:r>
        <w:rPr>
          <w:rStyle w:val="A0"/>
          <w:rFonts w:asciiTheme="majorHAnsi" w:hAnsiTheme="majorHAnsi" w:cstheme="majorHAnsi"/>
          <w:sz w:val="22"/>
          <w:szCs w:val="22"/>
        </w:rPr>
        <w:t>6</w:t>
      </w:r>
      <w:r w:rsidRPr="00EA6A5E">
        <w:rPr>
          <w:rStyle w:val="A0"/>
          <w:rFonts w:asciiTheme="majorHAnsi" w:hAnsiTheme="majorHAnsi" w:cstheme="majorHAnsi"/>
          <w:sz w:val="22"/>
          <w:szCs w:val="22"/>
        </w:rPr>
        <w:t>.2023</w:t>
      </w:r>
    </w:p>
    <w:p w14:paraId="6A39D8B4" w14:textId="77777777" w:rsidR="00BC68F4" w:rsidRPr="00BC68F4" w:rsidRDefault="00BC68F4" w:rsidP="00BC68F4">
      <w:pPr>
        <w:pStyle w:val="EinfAbs"/>
        <w:suppressAutoHyphens/>
        <w:spacing w:line="276" w:lineRule="auto"/>
        <w:rPr>
          <w:rStyle w:val="A0"/>
          <w:rFonts w:asciiTheme="minorHAnsi" w:hAnsiTheme="minorHAnsi" w:cstheme="minorHAnsi"/>
          <w:b/>
          <w:bCs/>
          <w:sz w:val="20"/>
          <w:szCs w:val="20"/>
        </w:rPr>
      </w:pPr>
    </w:p>
    <w:p w14:paraId="483B4FE0" w14:textId="77777777" w:rsidR="00BC68F4" w:rsidRPr="00BC68F4" w:rsidRDefault="00BC68F4" w:rsidP="00BC68F4">
      <w:pPr>
        <w:pStyle w:val="EinfAbs"/>
        <w:spacing w:line="276" w:lineRule="auto"/>
        <w:jc w:val="both"/>
        <w:rPr>
          <w:rFonts w:asciiTheme="minorHAnsi" w:hAnsiTheme="minorHAnsi" w:cstheme="minorHAnsi"/>
          <w:b/>
          <w:bCs/>
          <w:sz w:val="26"/>
          <w:szCs w:val="26"/>
        </w:rPr>
      </w:pPr>
      <w:r w:rsidRPr="00BC68F4">
        <w:rPr>
          <w:rFonts w:asciiTheme="minorHAnsi" w:hAnsiTheme="minorHAnsi" w:cstheme="minorHAnsi"/>
          <w:b/>
          <w:bCs/>
          <w:sz w:val="26"/>
          <w:szCs w:val="26"/>
        </w:rPr>
        <w:t>B.E.G. DALI-SYS übernimmt die Steuerung des modernen Flaggschiffs</w:t>
      </w:r>
    </w:p>
    <w:p w14:paraId="26742017" w14:textId="77777777" w:rsidR="00BC68F4" w:rsidRPr="00BC68F4" w:rsidRDefault="00BC68F4" w:rsidP="00BC68F4">
      <w:pPr>
        <w:pStyle w:val="EinfAbs"/>
        <w:spacing w:line="276" w:lineRule="auto"/>
        <w:jc w:val="both"/>
        <w:rPr>
          <w:rFonts w:asciiTheme="minorHAnsi" w:hAnsiTheme="minorHAnsi" w:cstheme="minorHAnsi"/>
          <w:b/>
          <w:bCs/>
          <w:sz w:val="36"/>
          <w:szCs w:val="36"/>
        </w:rPr>
      </w:pPr>
      <w:r w:rsidRPr="00BC68F4">
        <w:rPr>
          <w:rFonts w:asciiTheme="minorHAnsi" w:hAnsiTheme="minorHAnsi" w:cstheme="minorHAnsi"/>
          <w:b/>
          <w:bCs/>
          <w:sz w:val="36"/>
          <w:szCs w:val="36"/>
        </w:rPr>
        <w:t>Volle Kraft voraus für OCA Global</w:t>
      </w:r>
    </w:p>
    <w:p w14:paraId="4FFFD26B" w14:textId="77777777" w:rsidR="00BC68F4" w:rsidRPr="00842BF7" w:rsidRDefault="00BC68F4" w:rsidP="00BC68F4">
      <w:pPr>
        <w:pStyle w:val="EinfAbs"/>
        <w:spacing w:line="276" w:lineRule="auto"/>
        <w:jc w:val="both"/>
        <w:rPr>
          <w:rFonts w:asciiTheme="majorHAnsi" w:hAnsiTheme="majorHAnsi" w:cstheme="majorHAnsi"/>
          <w:b/>
          <w:bCs/>
          <w:sz w:val="20"/>
          <w:szCs w:val="20"/>
        </w:rPr>
      </w:pPr>
    </w:p>
    <w:p w14:paraId="24383853" w14:textId="77777777" w:rsidR="00BC68F4" w:rsidRPr="00BC68F4" w:rsidRDefault="00BC68F4" w:rsidP="00BC68F4">
      <w:pPr>
        <w:pStyle w:val="EinfAbs"/>
        <w:suppressAutoHyphens/>
        <w:spacing w:line="276" w:lineRule="auto"/>
        <w:jc w:val="both"/>
        <w:rPr>
          <w:rFonts w:asciiTheme="majorHAnsi" w:hAnsiTheme="majorHAnsi" w:cstheme="majorHAnsi"/>
          <w:b/>
          <w:bCs/>
          <w:sz w:val="22"/>
          <w:szCs w:val="22"/>
        </w:rPr>
      </w:pPr>
      <w:r w:rsidRPr="00BC68F4">
        <w:rPr>
          <w:rFonts w:asciiTheme="majorHAnsi" w:hAnsiTheme="majorHAnsi" w:cstheme="majorHAnsi"/>
          <w:b/>
          <w:bCs/>
          <w:sz w:val="22"/>
          <w:szCs w:val="22"/>
        </w:rPr>
        <w:t xml:space="preserve">Die Unternehmensgruppe OCA Global bietet Kunden eine breite Dienstleistungspalette und unterstützt bei der Effizienzsteigerung. Mit über 4.000 Mitarbeitern und 240.000 Kunden gehört die Gruppe zu den Global Playern. Die Schlagkraft des Unternehmens spiegelt sich im neuen Firmensitz in </w:t>
      </w:r>
      <w:proofErr w:type="spellStart"/>
      <w:r w:rsidRPr="00BC68F4">
        <w:rPr>
          <w:rFonts w:asciiTheme="majorHAnsi" w:hAnsiTheme="majorHAnsi" w:cstheme="majorHAnsi"/>
          <w:b/>
          <w:bCs/>
          <w:sz w:val="22"/>
          <w:szCs w:val="22"/>
        </w:rPr>
        <w:t>Sant</w:t>
      </w:r>
      <w:proofErr w:type="spellEnd"/>
      <w:r w:rsidRPr="00BC68F4">
        <w:rPr>
          <w:rFonts w:asciiTheme="majorHAnsi" w:hAnsiTheme="majorHAnsi" w:cstheme="majorHAnsi"/>
          <w:b/>
          <w:bCs/>
          <w:sz w:val="22"/>
          <w:szCs w:val="22"/>
        </w:rPr>
        <w:t xml:space="preserve"> Cugat del </w:t>
      </w:r>
      <w:proofErr w:type="spellStart"/>
      <w:r w:rsidRPr="00BC68F4">
        <w:rPr>
          <w:rFonts w:asciiTheme="majorHAnsi" w:hAnsiTheme="majorHAnsi" w:cstheme="majorHAnsi"/>
          <w:b/>
          <w:bCs/>
          <w:sz w:val="22"/>
          <w:szCs w:val="22"/>
        </w:rPr>
        <w:t>Vallès</w:t>
      </w:r>
      <w:proofErr w:type="spellEnd"/>
      <w:r w:rsidRPr="00BC68F4">
        <w:rPr>
          <w:rFonts w:asciiTheme="majorHAnsi" w:hAnsiTheme="majorHAnsi" w:cstheme="majorHAnsi"/>
          <w:b/>
          <w:bCs/>
          <w:sz w:val="22"/>
          <w:szCs w:val="22"/>
        </w:rPr>
        <w:t xml:space="preserve"> in der Nähe von Barcelona wider. </w:t>
      </w:r>
    </w:p>
    <w:p w14:paraId="1BD59FBF" w14:textId="77777777" w:rsidR="00BC68F4" w:rsidRPr="00BC68F4" w:rsidRDefault="00BC68F4" w:rsidP="00BC68F4">
      <w:pPr>
        <w:pStyle w:val="EinfAbs"/>
        <w:suppressAutoHyphens/>
        <w:spacing w:line="276" w:lineRule="auto"/>
        <w:jc w:val="both"/>
        <w:rPr>
          <w:rFonts w:asciiTheme="majorHAnsi" w:hAnsiTheme="majorHAnsi" w:cstheme="majorHAnsi"/>
          <w:b/>
          <w:bCs/>
          <w:sz w:val="22"/>
          <w:szCs w:val="22"/>
        </w:rPr>
      </w:pPr>
    </w:p>
    <w:p w14:paraId="6D5E22D3" w14:textId="77777777" w:rsidR="00BC68F4" w:rsidRPr="00BC68F4" w:rsidRDefault="00BC68F4" w:rsidP="00BC68F4">
      <w:pPr>
        <w:pStyle w:val="Flietext"/>
        <w:spacing w:line="276" w:lineRule="auto"/>
        <w:rPr>
          <w:rFonts w:asciiTheme="majorHAnsi" w:hAnsiTheme="majorHAnsi" w:cstheme="majorHAnsi"/>
          <w:sz w:val="22"/>
          <w:szCs w:val="22"/>
        </w:rPr>
      </w:pPr>
      <w:r w:rsidRPr="00BC68F4">
        <w:rPr>
          <w:rFonts w:asciiTheme="majorHAnsi" w:hAnsiTheme="majorHAnsi" w:cstheme="majorHAnsi"/>
          <w:sz w:val="22"/>
          <w:szCs w:val="22"/>
        </w:rPr>
        <w:t xml:space="preserve">Dort erstreckt sich das neue Headquarter der OCA Global großzügig über ca. 4.800 qm. Es erinnert mit seiner Führungsfunktion und einer geometrischen Form an ein modernes Flaggschiff, das mit der gesamten Crew in eine Richtung strebt. </w:t>
      </w:r>
    </w:p>
    <w:p w14:paraId="4F6ADA95" w14:textId="77777777" w:rsidR="00BC68F4" w:rsidRPr="00BC68F4" w:rsidRDefault="00BC68F4" w:rsidP="00BC68F4">
      <w:pPr>
        <w:pStyle w:val="Flietext"/>
        <w:spacing w:line="276" w:lineRule="auto"/>
        <w:rPr>
          <w:rFonts w:asciiTheme="majorHAnsi" w:hAnsiTheme="majorHAnsi" w:cstheme="majorHAnsi"/>
          <w:sz w:val="22"/>
          <w:szCs w:val="22"/>
        </w:rPr>
      </w:pPr>
    </w:p>
    <w:p w14:paraId="51506F8D" w14:textId="77777777" w:rsidR="00BC68F4" w:rsidRPr="00BC68F4" w:rsidRDefault="00BC68F4" w:rsidP="00BC68F4">
      <w:pPr>
        <w:pStyle w:val="Flietext"/>
        <w:spacing w:line="276" w:lineRule="auto"/>
        <w:rPr>
          <w:rFonts w:asciiTheme="majorHAnsi" w:hAnsiTheme="majorHAnsi" w:cstheme="majorHAnsi"/>
          <w:spacing w:val="4"/>
          <w:sz w:val="22"/>
          <w:szCs w:val="22"/>
        </w:rPr>
      </w:pPr>
      <w:r w:rsidRPr="00BC68F4">
        <w:rPr>
          <w:rFonts w:asciiTheme="majorHAnsi" w:hAnsiTheme="majorHAnsi" w:cstheme="majorHAnsi"/>
          <w:spacing w:val="2"/>
          <w:sz w:val="22"/>
          <w:szCs w:val="22"/>
        </w:rPr>
        <w:t>Der internationale Dienstleister gibt sich transparent und offen. „Von der Brücke bis unter Deck“ prägen große Fensterflächen außen und innen das Erscheinungsbild. Gebäudebesuchern bietet sich vom Eingangsbereich freie Sicht auf das große Atrium. In gläsernen Räumen wird auch optisch zusammengearbeitet.</w:t>
      </w:r>
    </w:p>
    <w:p w14:paraId="15D463DE" w14:textId="77777777" w:rsidR="00BC68F4" w:rsidRPr="00BC68F4" w:rsidRDefault="00BC68F4" w:rsidP="00BC68F4">
      <w:pPr>
        <w:pStyle w:val="Flietext"/>
        <w:spacing w:line="276" w:lineRule="auto"/>
        <w:rPr>
          <w:rFonts w:asciiTheme="majorHAnsi" w:hAnsiTheme="majorHAnsi" w:cstheme="majorHAnsi"/>
          <w:sz w:val="22"/>
          <w:szCs w:val="22"/>
        </w:rPr>
      </w:pPr>
    </w:p>
    <w:p w14:paraId="100807DB" w14:textId="77777777" w:rsidR="00BC68F4" w:rsidRPr="00BC68F4" w:rsidRDefault="00BC68F4" w:rsidP="00BC68F4">
      <w:pPr>
        <w:pStyle w:val="Flietext"/>
        <w:spacing w:line="276" w:lineRule="auto"/>
        <w:rPr>
          <w:rFonts w:asciiTheme="majorHAnsi" w:hAnsiTheme="majorHAnsi" w:cstheme="majorHAnsi"/>
          <w:spacing w:val="7"/>
          <w:sz w:val="22"/>
          <w:szCs w:val="22"/>
        </w:rPr>
      </w:pPr>
      <w:r w:rsidRPr="00BC68F4">
        <w:rPr>
          <w:rFonts w:asciiTheme="majorHAnsi" w:hAnsiTheme="majorHAnsi" w:cstheme="majorHAnsi"/>
          <w:spacing w:val="5"/>
          <w:sz w:val="22"/>
          <w:szCs w:val="22"/>
        </w:rPr>
        <w:t xml:space="preserve">Licht spielt in diesem transparenten Bauwerk eine herausragende Rolle. Mit der Beleuchtung und Beschattung des Gebäudes wurde B.E.G. Spanien beauftragt. Zum Einsatz kommt mit B.E.G. DALI-SYS eine intelligente Lösung für die umfangreiche Beleuchtungssteuerung. </w:t>
      </w:r>
    </w:p>
    <w:p w14:paraId="1F22059F" w14:textId="77777777" w:rsidR="00BC68F4" w:rsidRPr="00BC68F4" w:rsidRDefault="00BC68F4" w:rsidP="00BC68F4">
      <w:pPr>
        <w:pStyle w:val="Flietext"/>
        <w:spacing w:line="276" w:lineRule="auto"/>
        <w:rPr>
          <w:rFonts w:asciiTheme="majorHAnsi" w:hAnsiTheme="majorHAnsi" w:cstheme="majorHAnsi"/>
          <w:spacing w:val="5"/>
          <w:sz w:val="22"/>
          <w:szCs w:val="22"/>
        </w:rPr>
      </w:pPr>
    </w:p>
    <w:p w14:paraId="773E6CEA" w14:textId="77777777" w:rsidR="00BC68F4" w:rsidRPr="00BC68F4" w:rsidRDefault="00BC68F4" w:rsidP="00BC68F4">
      <w:pPr>
        <w:pStyle w:val="Flietext"/>
        <w:spacing w:line="276" w:lineRule="auto"/>
        <w:rPr>
          <w:rFonts w:asciiTheme="majorHAnsi" w:hAnsiTheme="majorHAnsi" w:cstheme="majorHAnsi"/>
          <w:sz w:val="22"/>
          <w:szCs w:val="22"/>
        </w:rPr>
      </w:pPr>
      <w:r w:rsidRPr="00BC68F4">
        <w:rPr>
          <w:rFonts w:asciiTheme="majorHAnsi" w:hAnsiTheme="majorHAnsi" w:cstheme="majorHAnsi"/>
          <w:sz w:val="22"/>
          <w:szCs w:val="22"/>
        </w:rPr>
        <w:t xml:space="preserve">Das System kann aber weitaus mehr. So vereint DALI-SYS im Gebäude der OCA Global Gruppe Lichtmanagement, Notleuchten-Verwaltung und Jalousiesteuerung auf einer Plattform. Damit verleiht es dem modernen Gebäude Flexibilität, Sicherheit, Komfort und Energieeffizienz. </w:t>
      </w:r>
    </w:p>
    <w:p w14:paraId="30E54A24" w14:textId="77777777" w:rsidR="00BC68F4" w:rsidRPr="00BC68F4" w:rsidRDefault="00BC68F4" w:rsidP="00BC68F4">
      <w:pPr>
        <w:pStyle w:val="Flietext"/>
        <w:spacing w:line="276" w:lineRule="auto"/>
        <w:rPr>
          <w:rFonts w:asciiTheme="majorHAnsi" w:hAnsiTheme="majorHAnsi" w:cstheme="majorHAnsi"/>
          <w:spacing w:val="5"/>
          <w:sz w:val="22"/>
          <w:szCs w:val="22"/>
        </w:rPr>
      </w:pPr>
    </w:p>
    <w:p w14:paraId="675A07BD" w14:textId="77777777" w:rsidR="00BC68F4" w:rsidRPr="00BC68F4" w:rsidRDefault="00BC68F4" w:rsidP="00BC68F4">
      <w:pPr>
        <w:pStyle w:val="Flietext"/>
        <w:spacing w:line="276" w:lineRule="auto"/>
        <w:rPr>
          <w:rFonts w:asciiTheme="majorHAnsi" w:hAnsiTheme="majorHAnsi" w:cstheme="majorHAnsi"/>
          <w:spacing w:val="5"/>
          <w:sz w:val="22"/>
          <w:szCs w:val="22"/>
        </w:rPr>
      </w:pPr>
      <w:r w:rsidRPr="00BC68F4">
        <w:rPr>
          <w:rFonts w:asciiTheme="majorHAnsi" w:hAnsiTheme="majorHAnsi" w:cstheme="majorHAnsi"/>
          <w:spacing w:val="4"/>
          <w:sz w:val="22"/>
          <w:szCs w:val="22"/>
        </w:rPr>
        <w:t>Die verwendeten B.E.G. Multisensoren erfassen Bewegungen, vorhandenes Umgebungslicht und reagieren tageszeitabhängig. Auf diese Weise ist es möglich, Beleuchtungsszenen für jeden Bereich und/oder jede Kombination von Bereichen zu programmieren und zu planen, was eine Gruppensteuerung erleichtert. Beleuchtungsstärken, Jalousiepositionen und vieles mehr lassen sich schnell ändern.</w:t>
      </w:r>
    </w:p>
    <w:p w14:paraId="03E7D480"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p>
    <w:p w14:paraId="6FCFE91F" w14:textId="77777777" w:rsidR="00BC68F4" w:rsidRPr="00BC68F4" w:rsidRDefault="00BC68F4" w:rsidP="00BC68F4">
      <w:pPr>
        <w:pStyle w:val="EinfAbs"/>
        <w:suppressAutoHyphens/>
        <w:spacing w:line="276" w:lineRule="auto"/>
        <w:jc w:val="both"/>
        <w:rPr>
          <w:rFonts w:asciiTheme="majorHAnsi" w:hAnsiTheme="majorHAnsi" w:cstheme="majorHAnsi"/>
          <w:spacing w:val="2"/>
          <w:sz w:val="22"/>
          <w:szCs w:val="22"/>
        </w:rPr>
      </w:pPr>
      <w:r w:rsidRPr="00BC68F4">
        <w:rPr>
          <w:rFonts w:asciiTheme="majorHAnsi" w:hAnsiTheme="majorHAnsi" w:cstheme="majorHAnsi"/>
          <w:spacing w:val="2"/>
          <w:sz w:val="22"/>
          <w:szCs w:val="22"/>
        </w:rPr>
        <w:t>Die Orientierungslichtfunktion hilft, die Beleuchtung nach Ablauf der definierten Ausschaltzeit zu dimmen. Dieses Orientierungslicht kann auf eine bestimmte Zeit begrenzt werden oder dauerhaft aktiv sein, wenn keine Bewegung erkannt und der eingestellte Lichtwert nicht überschritten wird. Dank dieser Installation verfügt das Gebäude über eine dezentrale Steuerung mit verteilter Intelligenz, die eine hohe Betriebssicherheit gewährleistet. Da die Detektoren adressierbar sind, können die Multisensoren als Master und Slave eingerichtet werden. Die Multisensoren haben kein Netzteil und werden über den DALI-Bus mit Strom versorgt. Die Funktion „</w:t>
      </w:r>
      <w:proofErr w:type="spellStart"/>
      <w:r w:rsidRPr="00BC68F4">
        <w:rPr>
          <w:rFonts w:asciiTheme="majorHAnsi" w:hAnsiTheme="majorHAnsi" w:cstheme="majorHAnsi"/>
          <w:spacing w:val="2"/>
          <w:sz w:val="22"/>
          <w:szCs w:val="22"/>
        </w:rPr>
        <w:t>Guided</w:t>
      </w:r>
      <w:proofErr w:type="spellEnd"/>
      <w:r w:rsidRPr="00BC68F4">
        <w:rPr>
          <w:rFonts w:asciiTheme="majorHAnsi" w:hAnsiTheme="majorHAnsi" w:cstheme="majorHAnsi"/>
          <w:spacing w:val="2"/>
          <w:sz w:val="22"/>
          <w:szCs w:val="22"/>
        </w:rPr>
        <w:t xml:space="preserve"> Light“ wurde bei OCA Global implementiert, um die Bewegungserfassung mehrerer Gruppen zu synchronisieren, insbesondere in Treppenhäusern, in denen keine Präsenzmelder installiert sind. So wird die Energieeffizienz des Gebäudes gesteigert, und gleichzeitig profitieren die </w:t>
      </w:r>
      <w:r w:rsidRPr="00BC68F4">
        <w:rPr>
          <w:rFonts w:asciiTheme="majorHAnsi" w:hAnsiTheme="majorHAnsi" w:cstheme="majorHAnsi"/>
          <w:sz w:val="22"/>
          <w:szCs w:val="22"/>
        </w:rPr>
        <w:t>Mitarbeiter von dem hohen Komfort der Gebäudeautomation.</w:t>
      </w:r>
    </w:p>
    <w:p w14:paraId="162F3410"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p>
    <w:p w14:paraId="2BED0F93"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r w:rsidRPr="00BC68F4">
        <w:rPr>
          <w:rFonts w:asciiTheme="majorHAnsi" w:hAnsiTheme="majorHAnsi" w:cstheme="majorHAnsi"/>
          <w:sz w:val="22"/>
          <w:szCs w:val="22"/>
        </w:rPr>
        <w:t xml:space="preserve">Die PD4-Melder der B.E.G. gibt es als Schaltmelder und für KNX, BMS DALI-2, DALI-SYS, DALI-LINK und </w:t>
      </w:r>
      <w:proofErr w:type="spellStart"/>
      <w:r w:rsidRPr="00BC68F4">
        <w:rPr>
          <w:rFonts w:asciiTheme="majorHAnsi" w:hAnsiTheme="majorHAnsi" w:cstheme="majorHAnsi"/>
          <w:sz w:val="22"/>
          <w:szCs w:val="22"/>
        </w:rPr>
        <w:t>Casambi</w:t>
      </w:r>
      <w:proofErr w:type="spellEnd"/>
      <w:r w:rsidRPr="00BC68F4">
        <w:rPr>
          <w:rFonts w:asciiTheme="majorHAnsi" w:hAnsiTheme="majorHAnsi" w:cstheme="majorHAnsi"/>
          <w:sz w:val="22"/>
          <w:szCs w:val="22"/>
        </w:rPr>
        <w:t>. In dem Erfolgsmodell sind gleich zwei Lichtsensoren verbaut. Durch eine permanente Mischlichtmessung werden hervorragende Ergebnisse in Räumen mit schwierigen Lichtsituationen wie in den gläsernen Großraumbüros erzielt. Neben dem regulären PD4N-DALI-SYS kommt das Große-Höhen-Modell mit einem extragroßen Erfassungsbereich von 30 m zum Einsatz. Aus bis zu 16 m Montagehöhe kann der PD4-DALI-SYS-GH dank variabel einstellbarem Teleskop-Lichtfühler eine exakte Lichtmessung am Boden der Lobby vornehmen. Wo Sonderfunktionen eine geringfügige Rolle spielen, wird im Firmensitz der OCA Global auf den B.E.G. PICO gesetzt. Dieser hat einen Erfassungsbereich von 10 m und erfüllt damit die Funktionen als Multisensor nahezu unsichtbar, denn er ist gerade einmal 33 mm groß und 4 g leicht.</w:t>
      </w:r>
    </w:p>
    <w:p w14:paraId="407B3200"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p>
    <w:p w14:paraId="5139FB4C"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r w:rsidRPr="00BC68F4">
        <w:rPr>
          <w:rFonts w:asciiTheme="majorHAnsi" w:hAnsiTheme="majorHAnsi" w:cstheme="majorHAnsi"/>
          <w:sz w:val="22"/>
          <w:szCs w:val="22"/>
        </w:rPr>
        <w:t xml:space="preserve">Der DALI-SYS Router unterstützt ein zentrales Notleuchten-Management, zeigt alle Informationen über installierte Leuchten an und führt automatisch alle notwendigen Funktions- und </w:t>
      </w:r>
      <w:r w:rsidRPr="00BC68F4">
        <w:rPr>
          <w:rFonts w:asciiTheme="majorHAnsi" w:hAnsiTheme="majorHAnsi" w:cstheme="majorHAnsi"/>
          <w:spacing w:val="-2"/>
          <w:sz w:val="22"/>
          <w:szCs w:val="22"/>
        </w:rPr>
        <w:t xml:space="preserve">Lebensdauerprüfungen durch. Nach der Installation ist es möglich, dass B.E.G. Zentralfunktionen wie Kalenderfunktionen, </w:t>
      </w:r>
      <w:r w:rsidRPr="00BC68F4">
        <w:rPr>
          <w:rFonts w:asciiTheme="majorHAnsi" w:hAnsiTheme="majorHAnsi" w:cstheme="majorHAnsi"/>
          <w:sz w:val="22"/>
          <w:szCs w:val="22"/>
        </w:rPr>
        <w:t xml:space="preserve">Energiemonitoring und Störfälle übernimmt. In diesen Fällen werden Störungsmeldungen per E-Mail für die Wartung der Beleuchtungsanlage verschickt, Vorfälle können in Echtzeit gemeldet werden. </w:t>
      </w:r>
    </w:p>
    <w:p w14:paraId="386A6F85" w14:textId="77777777" w:rsidR="00BC68F4" w:rsidRPr="00BC68F4" w:rsidRDefault="00BC68F4" w:rsidP="00BC68F4">
      <w:pPr>
        <w:pStyle w:val="EinfAbs"/>
        <w:suppressAutoHyphens/>
        <w:spacing w:line="276" w:lineRule="auto"/>
        <w:jc w:val="both"/>
        <w:rPr>
          <w:rFonts w:asciiTheme="majorHAnsi" w:hAnsiTheme="majorHAnsi" w:cstheme="majorHAnsi"/>
          <w:sz w:val="22"/>
          <w:szCs w:val="22"/>
        </w:rPr>
      </w:pPr>
    </w:p>
    <w:p w14:paraId="66452425" w14:textId="77777777" w:rsidR="00BC68F4" w:rsidRPr="00BC68F4" w:rsidRDefault="00BC68F4" w:rsidP="00BC68F4">
      <w:pPr>
        <w:pStyle w:val="Flietext"/>
        <w:spacing w:line="276" w:lineRule="auto"/>
        <w:rPr>
          <w:rFonts w:asciiTheme="majorHAnsi" w:hAnsiTheme="majorHAnsi" w:cstheme="majorHAnsi"/>
          <w:sz w:val="22"/>
          <w:szCs w:val="22"/>
        </w:rPr>
      </w:pPr>
      <w:r w:rsidRPr="00BC68F4">
        <w:rPr>
          <w:rFonts w:asciiTheme="majorHAnsi" w:hAnsiTheme="majorHAnsi" w:cstheme="majorHAnsi"/>
          <w:sz w:val="22"/>
          <w:szCs w:val="22"/>
        </w:rPr>
        <w:t>Kurzum, die Steuerung des neuen Hauptsitzes von OCA Global ist durchdacht und bereit für die Zukunft. Sie trägt dazu bei, dass das Flaggschiff des Unternehmens zu einem perfekten Ort für die Zusammenarbeit des OCA Global Teams wird. Entdecken Sie die Möglichkeiten – B.E.G. übernimmt gern die Beratung für Ihr spezielles Projekt.</w:t>
      </w:r>
    </w:p>
    <w:p w14:paraId="42550CE1" w14:textId="0B2FBE82" w:rsidR="003C46B2" w:rsidRDefault="003C46B2" w:rsidP="00BC68F4"/>
    <w:p w14:paraId="022ECE14" w14:textId="77777777" w:rsidR="00BC68F4" w:rsidRPr="00EA6A5E" w:rsidRDefault="00BC68F4" w:rsidP="00BC68F4">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r w:rsidRPr="00EA6A5E">
        <w:rPr>
          <w:rFonts w:asciiTheme="majorHAnsi" w:eastAsiaTheme="minorHAnsi" w:hAnsiTheme="majorHAnsi" w:cstheme="majorHAnsi"/>
          <w:color w:val="000000"/>
          <w:spacing w:val="-3"/>
        </w:rPr>
        <w:t>Sigrid Knaupe</w:t>
      </w:r>
    </w:p>
    <w:p w14:paraId="58A48179" w14:textId="77777777" w:rsidR="00BC68F4" w:rsidRPr="00EA6A5E" w:rsidRDefault="00BC68F4" w:rsidP="00BC68F4">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r w:rsidRPr="00EA6A5E">
        <w:rPr>
          <w:rFonts w:asciiTheme="majorHAnsi" w:eastAsiaTheme="minorHAnsi" w:hAnsiTheme="majorHAnsi" w:cstheme="majorHAnsi"/>
          <w:color w:val="000000"/>
          <w:spacing w:val="-3"/>
        </w:rPr>
        <w:t>Marketing Manager</w:t>
      </w:r>
    </w:p>
    <w:p w14:paraId="3A07DF3E" w14:textId="77777777" w:rsidR="00BC68F4" w:rsidRPr="00EA6A5E" w:rsidRDefault="00BC68F4" w:rsidP="00BC68F4">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rPr>
      </w:pPr>
    </w:p>
    <w:p w14:paraId="5B0C27A9" w14:textId="77777777" w:rsidR="00BC68F4" w:rsidRPr="00EA6A5E" w:rsidRDefault="00BC68F4" w:rsidP="00BC68F4">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spacing w:val="-3"/>
        </w:rPr>
      </w:pPr>
      <w:r w:rsidRPr="00EA6A5E">
        <w:rPr>
          <w:rFonts w:asciiTheme="majorHAnsi" w:eastAsiaTheme="minorHAnsi" w:hAnsiTheme="majorHAnsi" w:cstheme="majorHAnsi"/>
          <w:b/>
          <w:bCs/>
          <w:color w:val="000000"/>
          <w:spacing w:val="-3"/>
        </w:rPr>
        <w:t>B.E.G. Brück Electronic GmbH</w:t>
      </w:r>
    </w:p>
    <w:p w14:paraId="7C5A6BF0" w14:textId="77777777" w:rsidR="00BC68F4" w:rsidRPr="00EA6A5E" w:rsidRDefault="00BC68F4" w:rsidP="00BC68F4">
      <w:pPr>
        <w:pStyle w:val="Flietext"/>
        <w:spacing w:line="276" w:lineRule="auto"/>
        <w:jc w:val="left"/>
        <w:rPr>
          <w:rFonts w:asciiTheme="majorHAnsi" w:hAnsiTheme="majorHAnsi" w:cstheme="majorHAnsi"/>
          <w:sz w:val="22"/>
          <w:szCs w:val="22"/>
        </w:rPr>
      </w:pPr>
      <w:r w:rsidRPr="00EA6A5E">
        <w:rPr>
          <w:rFonts w:asciiTheme="majorHAnsi" w:hAnsiTheme="majorHAnsi" w:cstheme="majorHAnsi"/>
          <w:sz w:val="22"/>
          <w:szCs w:val="22"/>
        </w:rPr>
        <w:t>www.beg-luxomat.com</w:t>
      </w:r>
    </w:p>
    <w:p w14:paraId="579ECD17" w14:textId="77777777" w:rsidR="00BC68F4" w:rsidRPr="00BC68F4" w:rsidRDefault="00BC68F4" w:rsidP="00BC68F4"/>
    <w:sectPr w:rsidR="00BC68F4" w:rsidRPr="00BC68F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759B" w14:textId="77777777" w:rsidR="00C84D65" w:rsidRDefault="005579E1">
      <w:pPr>
        <w:spacing w:after="0" w:line="240" w:lineRule="auto"/>
      </w:pPr>
      <w:r>
        <w:separator/>
      </w:r>
    </w:p>
  </w:endnote>
  <w:endnote w:type="continuationSeparator" w:id="0">
    <w:p w14:paraId="5BA32B42" w14:textId="77777777" w:rsidR="00C84D65" w:rsidRDefault="0055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Glober Regular">
    <w:panose1 w:val="00000000000000000000"/>
    <w:charset w:val="00"/>
    <w:family w:val="auto"/>
    <w:pitch w:val="variable"/>
    <w:sig w:usb0="A00002AF" w:usb1="5000207B" w:usb2="00000000" w:usb3="00000000" w:csb0="0000008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Bk BT">
    <w:panose1 w:val="00000000000000000000"/>
    <w:charset w:val="00"/>
    <w:family w:val="roman"/>
    <w:notTrueType/>
    <w:pitch w:val="default"/>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6BE" w14:textId="77777777" w:rsidR="005075B9" w:rsidRDefault="005075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78EF" w14:textId="77777777" w:rsidR="00BC68F4" w:rsidRPr="00DE77A3" w:rsidRDefault="00BC68F4">
    <w:pPr>
      <w:pStyle w:val="Fuzeile"/>
      <w:rPr>
        <w:rFonts w:asciiTheme="majorHAnsi" w:eastAsia="Futura Bk BT" w:hAnsiTheme="majorHAnsi" w:cstheme="majorHAnsi"/>
        <w:color w:val="151616"/>
        <w:sz w:val="18"/>
        <w:szCs w:val="18"/>
      </w:rPr>
    </w:pPr>
  </w:p>
  <w:p w14:paraId="2CFC55B2" w14:textId="77777777" w:rsidR="00BC68F4" w:rsidRPr="00DE77A3" w:rsidRDefault="00B256B1">
    <w:pPr>
      <w:pStyle w:val="Fuzeile"/>
      <w:rPr>
        <w:rFonts w:asciiTheme="majorHAnsi" w:eastAsia="Futura Bk BT" w:hAnsiTheme="majorHAnsi" w:cstheme="majorHAnsi"/>
        <w:color w:val="151616"/>
        <w:sz w:val="18"/>
        <w:szCs w:val="18"/>
      </w:rPr>
    </w:pPr>
    <w:r w:rsidRPr="00DE77A3">
      <w:rPr>
        <w:rFonts w:asciiTheme="majorHAnsi" w:eastAsia="Futura Bk BT" w:hAnsiTheme="majorHAnsi" w:cstheme="majorHAnsi"/>
        <w:color w:val="151616"/>
        <w:sz w:val="18"/>
        <w:szCs w:val="18"/>
      </w:rPr>
      <w:t>Abdruck kostenfrei, ein Belegexemplar wird erbeten!</w:t>
    </w:r>
  </w:p>
  <w:p w14:paraId="67706494" w14:textId="77777777" w:rsidR="00BC68F4" w:rsidRPr="00DE77A3" w:rsidRDefault="00BC68F4">
    <w:pPr>
      <w:pStyle w:val="Fuzeile"/>
      <w:rPr>
        <w:rFonts w:asciiTheme="majorHAnsi" w:hAnsiTheme="majorHAnsi" w:cstheme="majorHAnsi"/>
        <w:sz w:val="18"/>
        <w:szCs w:val="18"/>
      </w:rPr>
    </w:pPr>
  </w:p>
  <w:p w14:paraId="5DCF7694" w14:textId="77777777" w:rsidR="00BC68F4" w:rsidRPr="00DE77A3" w:rsidRDefault="00B256B1">
    <w:pPr>
      <w:widowControl w:val="0"/>
      <w:spacing w:after="0" w:line="158" w:lineRule="exact"/>
      <w:ind w:left="20" w:right="-20"/>
      <w:rPr>
        <w:rFonts w:asciiTheme="majorHAnsi" w:eastAsia="Futura-Heavy" w:hAnsiTheme="majorHAnsi" w:cstheme="majorHAnsi"/>
        <w:sz w:val="18"/>
        <w:szCs w:val="18"/>
      </w:rPr>
    </w:pPr>
    <w:r w:rsidRPr="00DE77A3">
      <w:rPr>
        <w:rFonts w:asciiTheme="majorHAnsi" w:eastAsia="Futura-Heavy" w:hAnsiTheme="majorHAnsi" w:cstheme="majorHAnsi"/>
        <w:color w:val="E4382D"/>
        <w:sz w:val="18"/>
        <w:szCs w:val="18"/>
      </w:rPr>
      <w:t>Pressekontakt:</w:t>
    </w:r>
  </w:p>
  <w:p w14:paraId="7B04EC6B" w14:textId="77777777" w:rsidR="00BC68F4"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CondensedExtraBold" w:hAnsiTheme="majorHAnsi" w:cstheme="majorHAnsi"/>
        <w:color w:val="151616"/>
        <w:sz w:val="18"/>
        <w:szCs w:val="18"/>
      </w:rPr>
      <w:t xml:space="preserve">B.E.G. </w:t>
    </w:r>
    <w:r w:rsidRPr="00DE77A3">
      <w:rPr>
        <w:rFonts w:asciiTheme="majorHAnsi" w:eastAsia="Futura Bk BT" w:hAnsiTheme="majorHAnsi" w:cstheme="majorHAnsi"/>
        <w:color w:val="151616"/>
        <w:sz w:val="18"/>
        <w:szCs w:val="18"/>
      </w:rPr>
      <w:t xml:space="preserve">Brück Electronic GmbH • Sigrid Knaupe • Gerberstraße 33 • D-51789 Lindlar </w:t>
    </w:r>
  </w:p>
  <w:p w14:paraId="06EED137" w14:textId="77777777" w:rsidR="00BC68F4"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 Bk BT" w:hAnsiTheme="majorHAnsi" w:cstheme="majorHAnsi"/>
        <w:color w:val="151616"/>
        <w:sz w:val="18"/>
        <w:szCs w:val="18"/>
      </w:rPr>
      <w:t xml:space="preserve">Tel. +49 (0) 2266.90121-304 • </w:t>
    </w:r>
    <w:hyperlink r:id="rId1">
      <w:r w:rsidRPr="00DE77A3">
        <w:rPr>
          <w:rStyle w:val="Internetlink"/>
          <w:rFonts w:asciiTheme="majorHAnsi" w:eastAsia="Futura Bk BT" w:hAnsiTheme="majorHAnsi" w:cstheme="majorHAnsi"/>
          <w:color w:val="151616"/>
          <w:sz w:val="18"/>
          <w:szCs w:val="18"/>
        </w:rPr>
        <w:t>p</w:t>
      </w:r>
    </w:hyperlink>
    <w:r w:rsidRPr="00DE77A3">
      <w:rPr>
        <w:rStyle w:val="Internetlink"/>
        <w:rFonts w:asciiTheme="majorHAnsi" w:eastAsia="Futura Bk BT" w:hAnsiTheme="majorHAnsi" w:cstheme="majorHAnsi"/>
        <w:color w:val="151616"/>
        <w:sz w:val="18"/>
        <w:szCs w:val="18"/>
      </w:rPr>
      <w:t>resse@beg.de</w:t>
    </w:r>
    <w:r w:rsidRPr="00DE77A3">
      <w:rPr>
        <w:rFonts w:asciiTheme="majorHAnsi" w:eastAsia="Futura Bk BT" w:hAnsiTheme="majorHAnsi" w:cstheme="majorHAnsi"/>
        <w:color w:val="151616"/>
        <w:sz w:val="18"/>
        <w:szCs w:val="18"/>
      </w:rPr>
      <w:t xml:space="preserve"> • </w:t>
    </w:r>
    <w:hyperlink r:id="rId2">
      <w:r w:rsidRPr="00DE77A3">
        <w:rPr>
          <w:rStyle w:val="Internetlink"/>
          <w:rFonts w:asciiTheme="majorHAnsi" w:eastAsia="Futura" w:hAnsiTheme="majorHAnsi" w:cstheme="majorHAnsi"/>
          <w:color w:val="151616"/>
          <w:sz w:val="18"/>
          <w:szCs w:val="18"/>
        </w:rPr>
        <w:t>www.beg-luxomat.com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D8AC" w14:textId="77777777" w:rsidR="005075B9" w:rsidRDefault="005075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50AA" w14:textId="77777777" w:rsidR="00C84D65" w:rsidRDefault="005579E1">
      <w:pPr>
        <w:spacing w:after="0" w:line="240" w:lineRule="auto"/>
      </w:pPr>
      <w:r>
        <w:separator/>
      </w:r>
    </w:p>
  </w:footnote>
  <w:footnote w:type="continuationSeparator" w:id="0">
    <w:p w14:paraId="41F6CC0A" w14:textId="77777777" w:rsidR="00C84D65" w:rsidRDefault="00557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26F8" w14:textId="77777777" w:rsidR="005075B9" w:rsidRDefault="005075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14:paraId="7CF2E7F0" w14:textId="77777777">
      <w:tc>
        <w:tcPr>
          <w:tcW w:w="4531" w:type="dxa"/>
          <w:tcBorders>
            <w:top w:val="nil"/>
            <w:left w:val="nil"/>
            <w:bottom w:val="single" w:sz="4" w:space="0" w:color="FF0000"/>
            <w:right w:val="nil"/>
          </w:tcBorders>
          <w:shd w:val="clear" w:color="auto" w:fill="auto"/>
        </w:tcPr>
        <w:p w14:paraId="5194ECE2" w14:textId="77777777" w:rsidR="00BC68F4" w:rsidRDefault="00B256B1">
          <w:pPr>
            <w:pStyle w:val="Kopfzeile"/>
            <w:rPr>
              <w:rFonts w:ascii="Verdana" w:hAnsi="Verdana"/>
            </w:rPr>
          </w:pPr>
          <w:r>
            <w:rPr>
              <w:noProof/>
            </w:rPr>
            <w:drawing>
              <wp:inline distT="0" distB="0" distL="0" distR="0" wp14:anchorId="5A0817B5" wp14:editId="03827232">
                <wp:extent cx="539750" cy="539750"/>
                <wp:effectExtent l="0" t="0" r="0" b="0"/>
                <wp:docPr id="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595069AD" w14:textId="77777777" w:rsidR="00BC68F4" w:rsidRPr="005075B9" w:rsidRDefault="00B256B1">
          <w:pPr>
            <w:pStyle w:val="Kopfzeile"/>
            <w:jc w:val="right"/>
            <w:rPr>
              <w:rFonts w:asciiTheme="majorHAnsi" w:hAnsiTheme="majorHAnsi" w:cstheme="majorHAnsi"/>
              <w:sz w:val="40"/>
              <w:szCs w:val="44"/>
            </w:rPr>
          </w:pPr>
          <w:r w:rsidRPr="005075B9">
            <w:rPr>
              <w:rFonts w:asciiTheme="majorHAnsi" w:hAnsiTheme="majorHAnsi" w:cstheme="majorHAnsi"/>
              <w:color w:val="808080" w:themeColor="background1" w:themeShade="80"/>
              <w:sz w:val="40"/>
              <w:szCs w:val="44"/>
            </w:rPr>
            <w:t>PRESSEMITTEILUNG</w:t>
          </w:r>
        </w:p>
      </w:tc>
    </w:tr>
  </w:tbl>
  <w:p w14:paraId="0DB8D714" w14:textId="77777777" w:rsidR="00BC68F4" w:rsidRDefault="00BC68F4">
    <w:pPr>
      <w:pStyle w:val="Kopfzeile"/>
      <w:rPr>
        <w:rFonts w:ascii="Verdana" w:hAnsi="Verdana"/>
      </w:rPr>
    </w:pPr>
  </w:p>
  <w:p w14:paraId="071FDB88" w14:textId="77777777" w:rsidR="00BC68F4" w:rsidRDefault="00BC68F4">
    <w:pPr>
      <w:pStyle w:val="Kopfzeile"/>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E17" w14:textId="77777777" w:rsidR="005075B9" w:rsidRDefault="005075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32B9F8"/>
    <w:lvl w:ilvl="0">
      <w:start w:val="1"/>
      <w:numFmt w:val="bullet"/>
      <w:pStyle w:val="Aufzhlungszeichen"/>
      <w:lvlText w:val=""/>
      <w:lvlJc w:val="left"/>
      <w:pPr>
        <w:tabs>
          <w:tab w:val="num" w:pos="360"/>
        </w:tabs>
        <w:ind w:left="360" w:hanging="360"/>
      </w:pPr>
      <w:rPr>
        <w:rFonts w:ascii="Symbol" w:hAnsi="Symbol" w:hint="default"/>
      </w:rPr>
    </w:lvl>
  </w:abstractNum>
  <w:num w:numId="1" w16cid:durableId="49060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F5"/>
    <w:rsid w:val="000A5BDF"/>
    <w:rsid w:val="0014317A"/>
    <w:rsid w:val="001A16B2"/>
    <w:rsid w:val="001D096A"/>
    <w:rsid w:val="00220108"/>
    <w:rsid w:val="0022010B"/>
    <w:rsid w:val="002676EF"/>
    <w:rsid w:val="00301FA7"/>
    <w:rsid w:val="00305EA6"/>
    <w:rsid w:val="0031194D"/>
    <w:rsid w:val="003309F9"/>
    <w:rsid w:val="00345672"/>
    <w:rsid w:val="003542B1"/>
    <w:rsid w:val="003C46B2"/>
    <w:rsid w:val="003C4D8F"/>
    <w:rsid w:val="003F61C4"/>
    <w:rsid w:val="00402800"/>
    <w:rsid w:val="00412ABB"/>
    <w:rsid w:val="005075B9"/>
    <w:rsid w:val="00511239"/>
    <w:rsid w:val="00533DCA"/>
    <w:rsid w:val="005579E1"/>
    <w:rsid w:val="00575002"/>
    <w:rsid w:val="005C1EE1"/>
    <w:rsid w:val="005D21C7"/>
    <w:rsid w:val="00627016"/>
    <w:rsid w:val="00692705"/>
    <w:rsid w:val="007222E8"/>
    <w:rsid w:val="00724A3C"/>
    <w:rsid w:val="007713DE"/>
    <w:rsid w:val="00800E10"/>
    <w:rsid w:val="00821718"/>
    <w:rsid w:val="00831D96"/>
    <w:rsid w:val="008668C4"/>
    <w:rsid w:val="008B77FE"/>
    <w:rsid w:val="008F2127"/>
    <w:rsid w:val="009302A7"/>
    <w:rsid w:val="00951FF5"/>
    <w:rsid w:val="009533FB"/>
    <w:rsid w:val="009A746A"/>
    <w:rsid w:val="009F110E"/>
    <w:rsid w:val="009F5805"/>
    <w:rsid w:val="00A372B7"/>
    <w:rsid w:val="00A43E94"/>
    <w:rsid w:val="00AD2601"/>
    <w:rsid w:val="00AD42B5"/>
    <w:rsid w:val="00B256B1"/>
    <w:rsid w:val="00B3030B"/>
    <w:rsid w:val="00B52946"/>
    <w:rsid w:val="00B63340"/>
    <w:rsid w:val="00BC68F4"/>
    <w:rsid w:val="00BD74E8"/>
    <w:rsid w:val="00BF55D8"/>
    <w:rsid w:val="00C02CB7"/>
    <w:rsid w:val="00C22161"/>
    <w:rsid w:val="00C56708"/>
    <w:rsid w:val="00C84D65"/>
    <w:rsid w:val="00C86307"/>
    <w:rsid w:val="00CA0B3F"/>
    <w:rsid w:val="00CA1630"/>
    <w:rsid w:val="00CF75C1"/>
    <w:rsid w:val="00DE77A3"/>
    <w:rsid w:val="00E34710"/>
    <w:rsid w:val="00E43C12"/>
    <w:rsid w:val="00E54982"/>
    <w:rsid w:val="00EA4DF6"/>
    <w:rsid w:val="00F54234"/>
    <w:rsid w:val="00F87367"/>
    <w:rsid w:val="00FA01F1"/>
    <w:rsid w:val="00FB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AA9308"/>
  <w15:docId w15:val="{31BE71EB-D4AD-4239-B72F-EEADB3F7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6B1"/>
    <w:rPr>
      <w:rFonts w:ascii="Calibri" w:eastAsia="Calibri" w:hAnsi="Calibri"/>
      <w:color w:val="00000A"/>
    </w:rPr>
  </w:style>
  <w:style w:type="paragraph" w:styleId="berschrift1">
    <w:name w:val="heading 1"/>
    <w:basedOn w:val="Standard"/>
    <w:link w:val="berschrift1Zchn"/>
    <w:uiPriority w:val="9"/>
    <w:qFormat/>
    <w:rsid w:val="00E43C12"/>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9"/>
    <w:unhideWhenUsed/>
    <w:rsid w:val="003309F9"/>
    <w:pPr>
      <w:numPr>
        <w:numId w:val="1"/>
      </w:numPr>
      <w:contextualSpacing/>
    </w:pPr>
    <w:rPr>
      <w:rFonts w:asciiTheme="minorHAnsi" w:eastAsiaTheme="minorHAnsi" w:hAnsiTheme="minorHAnsi"/>
      <w:color w:val="auto"/>
    </w:rPr>
  </w:style>
  <w:style w:type="character" w:customStyle="1" w:styleId="yt-core-attributed-string">
    <w:name w:val="yt-core-attributed-string"/>
    <w:basedOn w:val="Absatz-Standardschriftart"/>
    <w:rsid w:val="00305EA6"/>
  </w:style>
  <w:style w:type="paragraph" w:customStyle="1" w:styleId="KeinAbsatzformat">
    <w:name w:val="[Kein Absatzformat]"/>
    <w:basedOn w:val="Standard"/>
    <w:qFormat/>
    <w:rsid w:val="007713DE"/>
    <w:pPr>
      <w:autoSpaceDE w:val="0"/>
      <w:autoSpaceDN w:val="0"/>
      <w:spacing w:after="0" w:line="288" w:lineRule="auto"/>
    </w:pPr>
    <w:rPr>
      <w:rFonts w:ascii="Minion Pro" w:eastAsiaTheme="minorHAnsi" w:hAnsi="Minion Pro" w:cs="Calibri"/>
      <w:color w:val="000000"/>
      <w:sz w:val="24"/>
      <w:szCs w:val="24"/>
      <w:lang w:eastAsia="de-DE"/>
    </w:rPr>
  </w:style>
  <w:style w:type="character" w:customStyle="1" w:styleId="berschrift1Zchn">
    <w:name w:val="Überschrift 1 Zchn"/>
    <w:basedOn w:val="Absatz-Standardschriftart"/>
    <w:link w:val="berschrift1"/>
    <w:uiPriority w:val="9"/>
    <w:rsid w:val="00E43C12"/>
    <w:rPr>
      <w:rFonts w:ascii="Times New Roman" w:eastAsia="Times New Roman" w:hAnsi="Times New Roman" w:cs="Times New Roman"/>
      <w:b/>
      <w:bCs/>
      <w:kern w:val="36"/>
      <w:sz w:val="48"/>
      <w:szCs w:val="48"/>
      <w:lang w:eastAsia="de-DE"/>
    </w:rPr>
  </w:style>
  <w:style w:type="table" w:styleId="Tabellenraster">
    <w:name w:val="Table Grid"/>
    <w:basedOn w:val="NormaleTabelle"/>
    <w:uiPriority w:val="39"/>
    <w:rsid w:val="00E43C1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qFormat/>
    <w:rsid w:val="00B256B1"/>
  </w:style>
  <w:style w:type="character" w:customStyle="1" w:styleId="FuzeileZchn">
    <w:name w:val="Fußzeile Zchn"/>
    <w:basedOn w:val="Absatz-Standardschriftart"/>
    <w:link w:val="Fuzeile"/>
    <w:uiPriority w:val="99"/>
    <w:qFormat/>
    <w:rsid w:val="00B256B1"/>
  </w:style>
  <w:style w:type="character" w:customStyle="1" w:styleId="Internetlink">
    <w:name w:val="Internetlink"/>
    <w:rsid w:val="00B256B1"/>
    <w:rPr>
      <w:color w:val="000080"/>
      <w:u w:val="single"/>
    </w:rPr>
  </w:style>
  <w:style w:type="paragraph" w:styleId="Kopfzeile">
    <w:name w:val="header"/>
    <w:basedOn w:val="Standard"/>
    <w:link w:val="Kopf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KopfzeileZchn1">
    <w:name w:val="Kopfzeile Zchn1"/>
    <w:basedOn w:val="Absatz-Standardschriftart"/>
    <w:uiPriority w:val="99"/>
    <w:semiHidden/>
    <w:rsid w:val="00B256B1"/>
    <w:rPr>
      <w:rFonts w:ascii="Calibri" w:eastAsia="Calibri" w:hAnsi="Calibri"/>
      <w:color w:val="00000A"/>
    </w:rPr>
  </w:style>
  <w:style w:type="paragraph" w:styleId="Fuzeile">
    <w:name w:val="footer"/>
    <w:basedOn w:val="Standard"/>
    <w:link w:val="Fu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FuzeileZchn1">
    <w:name w:val="Fußzeile Zchn1"/>
    <w:basedOn w:val="Absatz-Standardschriftart"/>
    <w:uiPriority w:val="99"/>
    <w:semiHidden/>
    <w:rsid w:val="00B256B1"/>
    <w:rPr>
      <w:rFonts w:ascii="Calibri" w:eastAsia="Calibri" w:hAnsi="Calibri"/>
      <w:color w:val="00000A"/>
    </w:rPr>
  </w:style>
  <w:style w:type="paragraph" w:styleId="berarbeitung">
    <w:name w:val="Revision"/>
    <w:hidden/>
    <w:uiPriority w:val="99"/>
    <w:semiHidden/>
    <w:rsid w:val="00C56708"/>
    <w:pPr>
      <w:spacing w:after="0" w:line="240" w:lineRule="auto"/>
    </w:pPr>
    <w:rPr>
      <w:rFonts w:ascii="Calibri" w:eastAsia="Calibri" w:hAnsi="Calibri"/>
      <w:color w:val="00000A"/>
    </w:rPr>
  </w:style>
  <w:style w:type="character" w:styleId="Kommentarzeichen">
    <w:name w:val="annotation reference"/>
    <w:basedOn w:val="Absatz-Standardschriftart"/>
    <w:uiPriority w:val="99"/>
    <w:semiHidden/>
    <w:unhideWhenUsed/>
    <w:rsid w:val="00533DCA"/>
    <w:rPr>
      <w:sz w:val="16"/>
      <w:szCs w:val="16"/>
    </w:rPr>
  </w:style>
  <w:style w:type="paragraph" w:styleId="Kommentartext">
    <w:name w:val="annotation text"/>
    <w:basedOn w:val="Standard"/>
    <w:link w:val="KommentartextZchn"/>
    <w:uiPriority w:val="99"/>
    <w:semiHidden/>
    <w:unhideWhenUsed/>
    <w:rsid w:val="00533D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3DCA"/>
    <w:rPr>
      <w:rFonts w:ascii="Calibri" w:eastAsia="Calibri" w:hAnsi="Calibri"/>
      <w:color w:val="00000A"/>
      <w:sz w:val="20"/>
      <w:szCs w:val="20"/>
    </w:rPr>
  </w:style>
  <w:style w:type="paragraph" w:styleId="Kommentarthema">
    <w:name w:val="annotation subject"/>
    <w:basedOn w:val="Kommentartext"/>
    <w:next w:val="Kommentartext"/>
    <w:link w:val="KommentarthemaZchn"/>
    <w:uiPriority w:val="99"/>
    <w:semiHidden/>
    <w:unhideWhenUsed/>
    <w:rsid w:val="00533DCA"/>
    <w:rPr>
      <w:b/>
      <w:bCs/>
    </w:rPr>
  </w:style>
  <w:style w:type="character" w:customStyle="1" w:styleId="KommentarthemaZchn">
    <w:name w:val="Kommentarthema Zchn"/>
    <w:basedOn w:val="KommentartextZchn"/>
    <w:link w:val="Kommentarthema"/>
    <w:uiPriority w:val="99"/>
    <w:semiHidden/>
    <w:rsid w:val="00533DCA"/>
    <w:rPr>
      <w:rFonts w:ascii="Calibri" w:eastAsia="Calibri" w:hAnsi="Calibri"/>
      <w:b/>
      <w:bCs/>
      <w:color w:val="00000A"/>
      <w:sz w:val="20"/>
      <w:szCs w:val="20"/>
    </w:rPr>
  </w:style>
  <w:style w:type="character" w:styleId="Fett">
    <w:name w:val="Strong"/>
    <w:basedOn w:val="Absatz-Standardschriftart"/>
    <w:uiPriority w:val="22"/>
    <w:qFormat/>
    <w:rsid w:val="003C46B2"/>
    <w:rPr>
      <w:b/>
      <w:bCs/>
    </w:rPr>
  </w:style>
  <w:style w:type="paragraph" w:customStyle="1" w:styleId="EinfAbs">
    <w:name w:val="[Einf. Abs.]"/>
    <w:basedOn w:val="KeinAbsatzformat"/>
    <w:uiPriority w:val="99"/>
    <w:qFormat/>
    <w:rsid w:val="00BC68F4"/>
    <w:pPr>
      <w:autoSpaceDE/>
      <w:autoSpaceDN/>
      <w:textAlignment w:val="center"/>
    </w:pPr>
    <w:rPr>
      <w:rFonts w:ascii="Wingdings" w:eastAsia="Calibri" w:hAnsi="Wingdings" w:cstheme="minorBidi"/>
      <w:lang w:eastAsia="en-US"/>
    </w:rPr>
  </w:style>
  <w:style w:type="paragraph" w:customStyle="1" w:styleId="Flietext">
    <w:name w:val="Fließtext"/>
    <w:basedOn w:val="KeinAbsatzformat"/>
    <w:uiPriority w:val="99"/>
    <w:rsid w:val="00BC68F4"/>
    <w:pPr>
      <w:suppressAutoHyphens/>
      <w:adjustRightInd w:val="0"/>
      <w:spacing w:line="260" w:lineRule="atLeast"/>
      <w:jc w:val="both"/>
      <w:textAlignment w:val="center"/>
    </w:pPr>
    <w:rPr>
      <w:rFonts w:ascii="Glober Regular" w:hAnsi="Glober Regular" w:cs="Glober Regular"/>
      <w:sz w:val="18"/>
      <w:szCs w:val="18"/>
      <w:lang w:eastAsia="en-US"/>
      <w14:ligatures w14:val="standardContextual"/>
    </w:rPr>
  </w:style>
  <w:style w:type="character" w:customStyle="1" w:styleId="A0">
    <w:name w:val="A0"/>
    <w:uiPriority w:val="99"/>
    <w:rsid w:val="00BC68F4"/>
    <w:rPr>
      <w:rFonts w:cs="Glober Regular"/>
      <w:color w:val="1C1C1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324187">
      <w:bodyDiv w:val="1"/>
      <w:marLeft w:val="0"/>
      <w:marRight w:val="0"/>
      <w:marTop w:val="0"/>
      <w:marBottom w:val="0"/>
      <w:divBdr>
        <w:top w:val="none" w:sz="0" w:space="0" w:color="auto"/>
        <w:left w:val="none" w:sz="0" w:space="0" w:color="auto"/>
        <w:bottom w:val="none" w:sz="0" w:space="0" w:color="auto"/>
        <w:right w:val="none" w:sz="0" w:space="0" w:color="auto"/>
      </w:divBdr>
    </w:div>
    <w:div w:id="80997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3DB0F-8386-4F07-AF56-B444A0FF0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B.E.G. Sigrid Knaupe</dc:creator>
  <cp:keywords/>
  <dc:description/>
  <cp:lastModifiedBy>Knaupe, Sigrid</cp:lastModifiedBy>
  <cp:revision>2</cp:revision>
  <cp:lastPrinted>2022-11-30T14:17:00Z</cp:lastPrinted>
  <dcterms:created xsi:type="dcterms:W3CDTF">2023-12-01T15:08:00Z</dcterms:created>
  <dcterms:modified xsi:type="dcterms:W3CDTF">2023-12-01T15:08:00Z</dcterms:modified>
</cp:coreProperties>
</file>